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00"/>
      </w:pPr>
      <w:r>
        <w:rPr>
          <w:rFonts w:ascii="Arial" w:cs="Arial" w:eastAsia="Arial" w:hAnsi="Arial"/>
          <w:b/>
          <w:bCs/>
          <w:color w:val="1A4FBE"/>
          <w:sz w:val="40"/>
          <w:szCs w:val="40"/>
        </w:rPr>
        <w:t xml:space="preserve">Financial Tracking Template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Erasmus+ KA220 — Update this document monthly from partner financial submissions</w:t>
      </w:r>
    </w:p>
    <w:p>
      <w:pPr>
        <w:pBdr>
          <w:bottom w:val="single" w:color="DDE3F0" w:sz="4" w:space="1"/>
        </w:pBdr>
        <w:spacing w:before="0" w:after="3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Replace '€ —' cells with actual amounts. Add rows as needed for additional partners or cost items.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200"/>
        <w:gridCol w:w="1200"/>
        <w:gridCol w:w="1200"/>
        <w:gridCol w:w="1200"/>
        <w:gridCol w:w="1426"/>
      </w:tblGrid>
      <w:tr>
        <w:tc>
          <w:tcPr>
            <w:tcW w:type="dxa" w:w="9026"/>
            <w:gridSpan w:val="7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FINANCIAL TRACKING TABLE — KA220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Partner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Approved Budget (€)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Staff Costs Spent (€)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Travel Spent (€)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Subcontracting (€)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Other Costs (€)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Remaining (€)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8"/>
                <w:szCs w:val="18"/>
              </w:rPr>
              <w:t xml:space="preserve">Partner A (Coordinator)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8"/>
                <w:szCs w:val="18"/>
              </w:rPr>
              <w:t xml:space="preserve">Partner B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8"/>
                <w:szCs w:val="18"/>
              </w:rPr>
              <w:t xml:space="preserve">Partner C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8"/>
                <w:szCs w:val="18"/>
              </w:rPr>
              <w:t xml:space="preserve">Partner D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PROJECT TOTAL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  <w:tc>
          <w:tcPr>
            <w:tcW w:type="dxa" w:w="14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€ —</w:t>
            </w:r>
          </w:p>
        </w:tc>
      </w:tr>
    </w:tbl>
    <w:p>
      <w:pPr>
        <w:spacing w:before="360" w:after="100"/>
      </w:pPr>
      <w:r>
        <w:rPr>
          <w:rFonts w:ascii="Arial" w:cs="Arial" w:eastAsia="Arial" w:hAnsi="Arial"/>
          <w:b/>
          <w:bCs/>
          <w:color w:val="1A4FBE"/>
          <w:sz w:val="22"/>
          <w:szCs w:val="22"/>
        </w:rPr>
        <w:t xml:space="preserve">Staff Days Log</w:t>
      </w:r>
    </w:p>
    <w:p>
      <w:pPr>
        <w:spacing w:before="0" w:after="2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Record staff days per person per work package. Attach signed monthly timesheets as supporting evidence.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200"/>
        <w:gridCol w:w="1200"/>
        <w:gridCol w:w="1200"/>
        <w:gridCol w:w="2226"/>
      </w:tblGrid>
      <w:tr>
        <w:tc>
          <w:tcPr>
            <w:tcW w:type="dxa" w:w="9026"/>
            <w:gridSpan w:val="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STAFF DAYS LOG — KA220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Partner</w:t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Staff Member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Staff Category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Days Used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Daily Rate (€)</w:t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Cost (€)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2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</w:tbl>
    <w:p>
      <w:pPr>
        <w:spacing w:before="360" w:after="100"/>
      </w:pPr>
      <w:r>
        <w:rPr>
          <w:rFonts w:ascii="Arial" w:cs="Arial" w:eastAsia="Arial" w:hAnsi="Arial"/>
          <w:b/>
          <w:bCs/>
          <w:color w:val="1A4FBE"/>
          <w:sz w:val="22"/>
          <w:szCs w:val="22"/>
        </w:rPr>
        <w:t xml:space="preserve">Travel &amp; Accommodation Log</w:t>
      </w:r>
    </w:p>
    <w:p>
      <w:pPr>
        <w:spacing w:before="0" w:after="2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Record each transnational trip. Attach boarding passes, receipts or travel booking confirmations as evidence.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200"/>
        <w:gridCol w:w="900"/>
        <w:gridCol w:w="1000"/>
        <w:gridCol w:w="1100"/>
        <w:gridCol w:w="1200"/>
        <w:gridCol w:w="1226"/>
      </w:tblGrid>
      <w:tr>
        <w:tc>
          <w:tcPr>
            <w:tcW w:type="dxa" w:w="9026"/>
            <w:gridSpan w:val="7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TRAVEL &amp; ACCOMMODATION LOG — KA220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Partner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Destination</w:t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Dates</w:t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Participants</w:t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Distance Band</w:t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Nights</w:t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1A4FB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Cost (€)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  <w:tr>
        <w:tc>
          <w:tcPr>
            <w:tcW w:type="dxa" w:w="14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  <w:tc>
          <w:tcPr>
            <w:tcW w:type="dxa" w:w="12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€ —</w:t>
            </w:r>
          </w:p>
        </w:tc>
      </w:tr>
    </w:tbl>
    <w:p>
      <w:pPr>
        <w:pBdr>
          <w:top w:val="single" w:color="DDE3F0" w:sz="4" w:space="1"/>
        </w:pBdr>
        <w:spacing w:before="320" w:after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KA210 NOTE: KA210 projects use a lump sum model. No financial receipts are required for the grant. However, you must retain evidence of activity delivery (attendance lists, minutes, output files) for at least 5 years after project end.</w:t>
      </w:r>
    </w:p>
    <w:sectPr>
      <w:headerReference w:type="default" r:id="rId6"/>
      <w:footerReference w:type="default" r:id="rId7"/>
      <w:pgSz w:w="16838" w:h="11906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4FBE" w:sz="6" w:space="1"/>
      </w:pBdr>
      <w:tabs>
        <w:tab w:val="right" w:pos="9026"/>
      </w:tabs>
      <w:spacing w:before="100"/>
    </w:pPr>
    <w:r>
      <w:rPr>
        <w:rFonts w:ascii="Arial" w:cs="Arial" w:eastAsia="Arial" w:hAnsi="Arial"/>
        <w:color w:val="555555"/>
        <w:sz w:val="16"/>
        <w:szCs w:val="16"/>
      </w:rPr>
      <w:t xml:space="preserve">GrowthProjects.eu  |  Financial Tracking Template — Update Monthly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555555"/>
        <w:sz w:val="16"/>
        <w:szCs w:val="16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FBE" w:sz="6" w:space="1"/>
      </w:pBdr>
      <w:spacing w:after="160"/>
    </w:pPr>
    <w:r>
      <w:rPr>
        <w:rFonts w:ascii="Arial" w:cs="Arial" w:eastAsia="Arial" w:hAnsi="Arial"/>
        <w:b/>
        <w:bCs/>
        <w:color w:val="1A4FBE"/>
        <w:sz w:val="26"/>
        <w:szCs w:val="26"/>
      </w:rPr>
      <w:t xml:space="preserve">Erasmus+ Financial Tracking Template</w:t>
    </w:r>
    <w:r>
      <w:rPr>
        <w:rFonts w:ascii="Arial" w:cs="Arial" w:eastAsia="Arial" w:hAnsi="Arial"/>
        <w:color w:val="555555"/>
        <w:sz w:val="20"/>
        <w:szCs w:val="20"/>
      </w:rPr>
      <w:t xml:space="preserve">   |   GrowthProjects.eu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2026-03-23T15:56:06.690Z</dcterms:created>
  <dcterms:modified xsi:type="dcterms:W3CDTF">2026-03-23T15:56:06.690Z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